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FDC1E" w14:textId="57A4A5CC" w:rsidR="007646D4" w:rsidRDefault="007646D4" w:rsidP="007646D4">
      <w:pPr>
        <w:shd w:val="clear" w:color="auto" w:fill="E6E6E6"/>
        <w:spacing w:after="240" w:line="240" w:lineRule="auto"/>
        <w:rPr>
          <w:rFonts w:eastAsia="Times New Roman" w:cstheme="minorHAnsi"/>
          <w:color w:val="111111"/>
        </w:rPr>
      </w:pPr>
      <w:r w:rsidRPr="007646D4">
        <w:rPr>
          <w:rFonts w:eastAsia="Times New Roman" w:cstheme="minorHAnsi"/>
          <w:b/>
          <w:bCs/>
          <w:color w:val="111111"/>
        </w:rPr>
        <w:t>Response #1: Write a 150-word discussion response to this post.</w:t>
      </w:r>
      <w:r w:rsidR="00F700C2">
        <w:rPr>
          <w:rFonts w:eastAsia="Times New Roman" w:cstheme="minorHAnsi"/>
          <w:b/>
          <w:bCs/>
          <w:color w:val="111111"/>
        </w:rPr>
        <w:t xml:space="preserve"> No plagiarism.</w:t>
      </w:r>
      <w:r>
        <w:rPr>
          <w:rFonts w:eastAsia="Times New Roman" w:cstheme="minorHAnsi"/>
          <w:color w:val="111111"/>
        </w:rPr>
        <w:t xml:space="preserve"> </w:t>
      </w:r>
      <w:r w:rsidRPr="007646D4">
        <w:rPr>
          <w:rFonts w:eastAsia="Times New Roman" w:cstheme="minorHAnsi"/>
          <w:b/>
          <w:bCs/>
          <w:color w:val="111111"/>
        </w:rPr>
        <w:t>Due 09/13/2021.</w:t>
      </w:r>
      <w:r>
        <w:rPr>
          <w:rFonts w:eastAsia="Times New Roman" w:cstheme="minorHAnsi"/>
          <w:color w:val="111111"/>
        </w:rPr>
        <w:t xml:space="preserve"> </w:t>
      </w:r>
    </w:p>
    <w:p w14:paraId="711C353A" w14:textId="39B7C5B0" w:rsidR="007646D4" w:rsidRPr="007646D4" w:rsidRDefault="007646D4" w:rsidP="007646D4">
      <w:pPr>
        <w:shd w:val="clear" w:color="auto" w:fill="E6E6E6"/>
        <w:spacing w:after="240" w:line="240" w:lineRule="auto"/>
        <w:rPr>
          <w:rFonts w:eastAsia="Times New Roman" w:cstheme="minorHAnsi"/>
          <w:color w:val="111111"/>
        </w:rPr>
      </w:pPr>
      <w:r>
        <w:rPr>
          <w:rFonts w:eastAsia="Times New Roman" w:cstheme="minorHAnsi"/>
          <w:color w:val="111111"/>
        </w:rPr>
        <w:t xml:space="preserve">(Eddy Guevara) </w:t>
      </w:r>
      <w:r w:rsidRPr="007646D4">
        <w:rPr>
          <w:rFonts w:eastAsia="Times New Roman" w:cstheme="minorHAnsi"/>
          <w:color w:val="111111"/>
        </w:rPr>
        <w:t>The Health Belief Model has been widely used since the 1950’s as a framework for health behavior research to explain change of health-related behaviors and as a guiding framework for interventions (Glanz, 2015). The model was developed by social psychologists in the United States Public Health Service and was used to explain the widespread failure of people to participate in programs that prevented and detected disease such as mobile X-ray vans used to screen for tuberculosis (Glanz, 2015). The Health Belief Model reflects the Cognitive Theory approach to behavior in that the main value seen in reinforcing a behavior lies in the expectations that come with the behavior such as avoiding illnesses through specific health actions (Glanz, 2015). There are several constructs that are used to predict whether and why people will participate in preventing, detecting or controlling illness:</w:t>
      </w:r>
    </w:p>
    <w:p w14:paraId="6232E156" w14:textId="77777777" w:rsidR="007646D4" w:rsidRPr="007646D4" w:rsidRDefault="007646D4" w:rsidP="007646D4">
      <w:pPr>
        <w:numPr>
          <w:ilvl w:val="0"/>
          <w:numId w:val="1"/>
        </w:numPr>
        <w:shd w:val="clear" w:color="auto" w:fill="E6E6E6"/>
        <w:spacing w:after="0" w:line="240" w:lineRule="auto"/>
        <w:rPr>
          <w:rFonts w:eastAsia="Times New Roman" w:cstheme="minorHAnsi"/>
          <w:color w:val="111111"/>
        </w:rPr>
      </w:pPr>
      <w:r w:rsidRPr="007646D4">
        <w:rPr>
          <w:rFonts w:eastAsia="Times New Roman" w:cstheme="minorHAnsi"/>
          <w:color w:val="111111"/>
        </w:rPr>
        <w:t>Perceived Susceptibility or the belief about the likelihood of getting a disease</w:t>
      </w:r>
    </w:p>
    <w:p w14:paraId="54FB9667" w14:textId="77777777" w:rsidR="007646D4" w:rsidRPr="007646D4" w:rsidRDefault="007646D4" w:rsidP="007646D4">
      <w:pPr>
        <w:numPr>
          <w:ilvl w:val="0"/>
          <w:numId w:val="1"/>
        </w:numPr>
        <w:shd w:val="clear" w:color="auto" w:fill="E6E6E6"/>
        <w:spacing w:after="0" w:line="240" w:lineRule="auto"/>
        <w:rPr>
          <w:rFonts w:eastAsia="Times New Roman" w:cstheme="minorHAnsi"/>
          <w:color w:val="111111"/>
        </w:rPr>
      </w:pPr>
      <w:r w:rsidRPr="007646D4">
        <w:rPr>
          <w:rFonts w:eastAsia="Times New Roman" w:cstheme="minorHAnsi"/>
          <w:color w:val="111111"/>
        </w:rPr>
        <w:t>Perceived Severity, the belief about the seriousness of contracting a disease or condition</w:t>
      </w:r>
    </w:p>
    <w:p w14:paraId="52C5D86A" w14:textId="77777777" w:rsidR="007646D4" w:rsidRPr="007646D4" w:rsidRDefault="007646D4" w:rsidP="007646D4">
      <w:pPr>
        <w:numPr>
          <w:ilvl w:val="0"/>
          <w:numId w:val="1"/>
        </w:numPr>
        <w:shd w:val="clear" w:color="auto" w:fill="E6E6E6"/>
        <w:spacing w:after="0" w:line="240" w:lineRule="auto"/>
        <w:rPr>
          <w:rFonts w:eastAsia="Times New Roman" w:cstheme="minorHAnsi"/>
          <w:color w:val="111111"/>
        </w:rPr>
      </w:pPr>
      <w:r w:rsidRPr="007646D4">
        <w:rPr>
          <w:rFonts w:eastAsia="Times New Roman" w:cstheme="minorHAnsi"/>
          <w:color w:val="111111"/>
        </w:rPr>
        <w:t>Perceived Benefits, the beliefs about the positive aspects of adopting a health behavior</w:t>
      </w:r>
    </w:p>
    <w:p w14:paraId="0B0C4309" w14:textId="77777777" w:rsidR="007646D4" w:rsidRPr="007646D4" w:rsidRDefault="007646D4" w:rsidP="007646D4">
      <w:pPr>
        <w:numPr>
          <w:ilvl w:val="0"/>
          <w:numId w:val="1"/>
        </w:numPr>
        <w:shd w:val="clear" w:color="auto" w:fill="E6E6E6"/>
        <w:spacing w:after="0" w:line="240" w:lineRule="auto"/>
        <w:rPr>
          <w:rFonts w:eastAsia="Times New Roman" w:cstheme="minorHAnsi"/>
          <w:color w:val="111111"/>
        </w:rPr>
      </w:pPr>
      <w:r w:rsidRPr="007646D4">
        <w:rPr>
          <w:rFonts w:eastAsia="Times New Roman" w:cstheme="minorHAnsi"/>
          <w:color w:val="111111"/>
        </w:rPr>
        <w:t>Perceived Barriers, the beliefs about obstacles to performing a behavior and negative aspects of adopting a health behavior</w:t>
      </w:r>
    </w:p>
    <w:p w14:paraId="707472A7" w14:textId="77777777" w:rsidR="007646D4" w:rsidRPr="007646D4" w:rsidRDefault="007646D4" w:rsidP="007646D4">
      <w:pPr>
        <w:numPr>
          <w:ilvl w:val="0"/>
          <w:numId w:val="1"/>
        </w:numPr>
        <w:shd w:val="clear" w:color="auto" w:fill="E6E6E6"/>
        <w:spacing w:after="0" w:line="240" w:lineRule="auto"/>
        <w:rPr>
          <w:rFonts w:eastAsia="Times New Roman" w:cstheme="minorHAnsi"/>
          <w:color w:val="111111"/>
        </w:rPr>
      </w:pPr>
      <w:r w:rsidRPr="007646D4">
        <w:rPr>
          <w:rFonts w:eastAsia="Times New Roman" w:cstheme="minorHAnsi"/>
          <w:color w:val="111111"/>
        </w:rPr>
        <w:t>Cues to Action, internal or external factors that could trigger the health behavior</w:t>
      </w:r>
    </w:p>
    <w:p w14:paraId="3E5F6E53" w14:textId="77777777" w:rsidR="007646D4" w:rsidRPr="007646D4" w:rsidRDefault="007646D4" w:rsidP="007646D4">
      <w:pPr>
        <w:numPr>
          <w:ilvl w:val="0"/>
          <w:numId w:val="1"/>
        </w:numPr>
        <w:shd w:val="clear" w:color="auto" w:fill="E6E6E6"/>
        <w:spacing w:after="0" w:line="240" w:lineRule="auto"/>
        <w:rPr>
          <w:rFonts w:eastAsia="Times New Roman" w:cstheme="minorHAnsi"/>
          <w:color w:val="111111"/>
        </w:rPr>
      </w:pPr>
      <w:r w:rsidRPr="007646D4">
        <w:rPr>
          <w:rFonts w:eastAsia="Times New Roman" w:cstheme="minorHAnsi"/>
          <w:color w:val="111111"/>
        </w:rPr>
        <w:t>Self-Efficacy, beliefs that one can perform the recommended health behavior</w:t>
      </w:r>
    </w:p>
    <w:p w14:paraId="31229E8E" w14:textId="228BDAF4" w:rsidR="007646D4" w:rsidRPr="007646D4" w:rsidRDefault="007646D4" w:rsidP="007646D4">
      <w:pPr>
        <w:shd w:val="clear" w:color="auto" w:fill="E6E6E6"/>
        <w:spacing w:after="240" w:line="240" w:lineRule="auto"/>
        <w:rPr>
          <w:rFonts w:eastAsia="Times New Roman" w:cstheme="minorHAnsi"/>
          <w:color w:val="111111"/>
        </w:rPr>
      </w:pPr>
      <w:r w:rsidRPr="007646D4">
        <w:rPr>
          <w:rFonts w:eastAsia="Times New Roman" w:cstheme="minorHAnsi"/>
          <w:color w:val="111111"/>
        </w:rPr>
        <w:t>(Glanz, 2015).</w:t>
      </w:r>
    </w:p>
    <w:p w14:paraId="18296AF4" w14:textId="77777777" w:rsidR="007646D4" w:rsidRPr="007646D4" w:rsidRDefault="007646D4" w:rsidP="007646D4">
      <w:pPr>
        <w:shd w:val="clear" w:color="auto" w:fill="E6E6E6"/>
        <w:spacing w:after="240" w:line="240" w:lineRule="auto"/>
        <w:rPr>
          <w:rFonts w:eastAsia="Times New Roman" w:cstheme="minorHAnsi"/>
          <w:color w:val="111111"/>
        </w:rPr>
      </w:pPr>
      <w:r w:rsidRPr="007646D4">
        <w:rPr>
          <w:rFonts w:eastAsia="Times New Roman" w:cstheme="minorHAnsi"/>
          <w:color w:val="111111"/>
        </w:rPr>
        <w:t>The Health Belief Model is an excellent tool that I would use as a health educator. A great example of how it could be implemented is in diabetes prevention in schools. Students who have a low rate of perceived susceptibility or severity of developing Type II Diabetes may be more likely to engage in behaviors that can negatively impact their health. Providing education in the school setting on the positive effects of exercise and smarter food choices can help reflect this mindset. The model shows that identifying reasons for current decisions and shifting the focus to reflect the positive effects of health behaviors will provide confidence and lead to more sustained changes in the behaviors.</w:t>
      </w:r>
    </w:p>
    <w:p w14:paraId="07F8E36B" w14:textId="0D8B8FC4" w:rsidR="007646D4" w:rsidRDefault="007646D4" w:rsidP="007646D4">
      <w:pPr>
        <w:shd w:val="clear" w:color="auto" w:fill="E6E6E6"/>
        <w:spacing w:after="240" w:line="240" w:lineRule="auto"/>
        <w:rPr>
          <w:rFonts w:eastAsia="Times New Roman" w:cstheme="minorHAnsi"/>
          <w:color w:val="111111"/>
        </w:rPr>
      </w:pPr>
      <w:r w:rsidRPr="007646D4">
        <w:rPr>
          <w:rFonts w:eastAsia="Times New Roman" w:cstheme="minorHAnsi"/>
          <w:color w:val="111111"/>
        </w:rPr>
        <w:t>Glanz, K., Rimer, B.K., Viswanath, K. (2015). Health Behavior: Theory, Research, and Practice (5th Ed.) John Wiley &amp; Sons, Inc.</w:t>
      </w:r>
    </w:p>
    <w:p w14:paraId="3E17089A" w14:textId="01D56FC3" w:rsidR="007646D4" w:rsidRPr="007646D4" w:rsidRDefault="007646D4" w:rsidP="007646D4">
      <w:pPr>
        <w:shd w:val="clear" w:color="auto" w:fill="E6E6E6"/>
        <w:spacing w:after="240" w:line="240" w:lineRule="auto"/>
        <w:rPr>
          <w:rFonts w:eastAsia="Times New Roman" w:cstheme="minorHAnsi"/>
          <w:color w:val="111111"/>
        </w:rPr>
      </w:pPr>
      <w:r w:rsidRPr="007646D4">
        <w:rPr>
          <w:rFonts w:eastAsia="Times New Roman" w:cstheme="minorHAnsi"/>
          <w:b/>
          <w:bCs/>
          <w:color w:val="111111"/>
        </w:rPr>
        <w:t xml:space="preserve">Response #2: </w:t>
      </w:r>
      <w:r w:rsidRPr="007646D4">
        <w:rPr>
          <w:rFonts w:eastAsia="Times New Roman" w:cstheme="minorHAnsi"/>
          <w:b/>
          <w:bCs/>
          <w:color w:val="111111"/>
        </w:rPr>
        <w:t xml:space="preserve">Write a 150-word discussion response to this post. </w:t>
      </w:r>
      <w:r w:rsidR="00F700C2">
        <w:rPr>
          <w:rFonts w:eastAsia="Times New Roman" w:cstheme="minorHAnsi"/>
          <w:b/>
          <w:bCs/>
          <w:color w:val="111111"/>
        </w:rPr>
        <w:t>No plagiarism.</w:t>
      </w:r>
      <w:r w:rsidR="00F700C2">
        <w:rPr>
          <w:rFonts w:eastAsia="Times New Roman" w:cstheme="minorHAnsi"/>
          <w:color w:val="111111"/>
        </w:rPr>
        <w:t xml:space="preserve"> </w:t>
      </w:r>
      <w:r w:rsidRPr="007646D4">
        <w:rPr>
          <w:rFonts w:eastAsia="Times New Roman" w:cstheme="minorHAnsi"/>
          <w:b/>
          <w:bCs/>
          <w:color w:val="111111"/>
        </w:rPr>
        <w:t>Due 09/13/2021.</w:t>
      </w:r>
    </w:p>
    <w:p w14:paraId="47A8D4E5" w14:textId="221DD670" w:rsidR="007646D4" w:rsidRPr="007646D4" w:rsidRDefault="00F700C2" w:rsidP="007646D4">
      <w:pPr>
        <w:shd w:val="clear" w:color="auto" w:fill="E6E6E6"/>
        <w:spacing w:line="235" w:lineRule="atLeast"/>
        <w:rPr>
          <w:rFonts w:ascii="Calibri" w:eastAsia="Times New Roman" w:hAnsi="Calibri" w:cs="Calibri"/>
          <w:color w:val="111111"/>
        </w:rPr>
      </w:pPr>
      <w:r>
        <w:rPr>
          <w:rFonts w:ascii="Calibri" w:eastAsia="Times New Roman" w:hAnsi="Calibri" w:cs="Calibri"/>
          <w:color w:val="111111"/>
        </w:rPr>
        <w:t xml:space="preserve">(Christopher Stratton) </w:t>
      </w:r>
      <w:r w:rsidR="007646D4" w:rsidRPr="007646D4">
        <w:rPr>
          <w:rFonts w:ascii="Calibri" w:eastAsia="Times New Roman" w:hAnsi="Calibri" w:cs="Calibri"/>
          <w:color w:val="111111"/>
        </w:rPr>
        <w:t>The Theory of Reasoned Action (TRA) and the Theory of Planned Behavior (TPB) focus on theoretical constructs concerned with individual motivational factors as determinants of the likelihood of performing speciﬁc behaviors. The TRA and TPB rest on an underlying assumption that the best predictor of a behavior is intention, which is determined by attitudes toward and social normative perceptions regarding the behavior. The TRA was developed to better understand relationships between attitudes, intentions, and behaviors (Fishbein, 1967). Many previous studies of these relationships found relatively low correspondence between attitudes and behaviors, and some theorists proposed eliminating attitude as a factor underlying behavior (Abelson, 1972; Wicker, 1969). In work that led to development of the TRA, Fishbein distinguished between attitude toward an object and attitude toward a behavior with respect to that object.</w:t>
      </w:r>
    </w:p>
    <w:p w14:paraId="32FC2105" w14:textId="77777777" w:rsidR="007646D4" w:rsidRPr="007646D4" w:rsidRDefault="007646D4" w:rsidP="007646D4">
      <w:pPr>
        <w:shd w:val="clear" w:color="auto" w:fill="E6E6E6"/>
        <w:spacing w:line="235" w:lineRule="atLeast"/>
        <w:rPr>
          <w:rFonts w:ascii="Calibri" w:eastAsia="Times New Roman" w:hAnsi="Calibri" w:cs="Calibri"/>
          <w:color w:val="111111"/>
        </w:rPr>
      </w:pPr>
      <w:r w:rsidRPr="007646D4">
        <w:rPr>
          <w:rFonts w:ascii="Calibri" w:eastAsia="Times New Roman" w:hAnsi="Calibri" w:cs="Calibri"/>
          <w:color w:val="111111"/>
        </w:rPr>
        <w:t xml:space="preserve">I chose this model mainly due to my experiences as a personal trainer. For instance, when I am training a client, if I know that their attitude towards a particular movement is poor, I can remind them of why they need to focus more on this movement for its beneficial factors in helping to achieving their goal. </w:t>
      </w:r>
      <w:r w:rsidRPr="007646D4">
        <w:rPr>
          <w:rFonts w:ascii="Calibri" w:eastAsia="Times New Roman" w:hAnsi="Calibri" w:cs="Calibri"/>
          <w:color w:val="111111"/>
        </w:rPr>
        <w:lastRenderedPageBreak/>
        <w:t>What it is that actually motivates people is different to each individual and situation, but I think this model is a good indicator as to how to quantify and determine a course of action.</w:t>
      </w:r>
    </w:p>
    <w:p w14:paraId="4725195D" w14:textId="77777777" w:rsidR="007646D4" w:rsidRDefault="007646D4">
      <w:pPr>
        <w:rPr>
          <w:rFonts w:cstheme="minorHAnsi"/>
          <w:color w:val="000000"/>
          <w:sz w:val="24"/>
          <w:szCs w:val="24"/>
          <w:shd w:val="clear" w:color="auto" w:fill="F8F8F8"/>
        </w:rPr>
      </w:pPr>
    </w:p>
    <w:p w14:paraId="4631089B" w14:textId="7CA900F8" w:rsidR="00FD44A4" w:rsidRPr="007646D4" w:rsidRDefault="007646D4">
      <w:pPr>
        <w:rPr>
          <w:rStyle w:val="Strong"/>
          <w:rFonts w:cstheme="minorHAnsi"/>
          <w:b w:val="0"/>
          <w:bCs w:val="0"/>
          <w:color w:val="000000"/>
          <w:sz w:val="24"/>
          <w:szCs w:val="24"/>
          <w:bdr w:val="none" w:sz="0" w:space="0" w:color="auto" w:frame="1"/>
          <w:shd w:val="clear" w:color="auto" w:fill="F8F8F8"/>
        </w:rPr>
      </w:pPr>
      <w:r>
        <w:rPr>
          <w:rFonts w:cstheme="minorHAnsi"/>
          <w:color w:val="000000"/>
          <w:sz w:val="24"/>
          <w:szCs w:val="24"/>
          <w:shd w:val="clear" w:color="auto" w:fill="F8F8F8"/>
        </w:rPr>
        <w:t xml:space="preserve">Discussion #5: </w:t>
      </w:r>
      <w:r w:rsidRPr="007646D4">
        <w:rPr>
          <w:rFonts w:cstheme="minorHAnsi"/>
          <w:color w:val="000000"/>
          <w:sz w:val="24"/>
          <w:szCs w:val="24"/>
          <w:shd w:val="clear" w:color="auto" w:fill="F8F8F8"/>
        </w:rPr>
        <w:t>After reading Glanz, et. Al Chapter 13 answer this question </w:t>
      </w:r>
      <w:r w:rsidRPr="007646D4">
        <w:rPr>
          <w:rStyle w:val="Strong"/>
          <w:rFonts w:cstheme="minorHAnsi"/>
          <w:color w:val="000000"/>
          <w:sz w:val="24"/>
          <w:szCs w:val="24"/>
          <w:bdr w:val="none" w:sz="0" w:space="0" w:color="auto" w:frame="1"/>
          <w:shd w:val="clear" w:color="auto" w:fill="F8F8F8"/>
        </w:rPr>
        <w:t>"How does having or not having good interpersonal communication skills impact Health and Illness?"</w:t>
      </w:r>
      <w:r>
        <w:rPr>
          <w:rStyle w:val="Strong"/>
          <w:rFonts w:cstheme="minorHAnsi"/>
          <w:color w:val="000000"/>
          <w:sz w:val="24"/>
          <w:szCs w:val="24"/>
          <w:bdr w:val="none" w:sz="0" w:space="0" w:color="auto" w:frame="1"/>
          <w:shd w:val="clear" w:color="auto" w:fill="F8F8F8"/>
        </w:rPr>
        <w:t xml:space="preserve"> </w:t>
      </w:r>
      <w:r w:rsidRPr="007646D4">
        <w:rPr>
          <w:rStyle w:val="Strong"/>
          <w:rFonts w:cstheme="minorHAnsi"/>
          <w:color w:val="000000"/>
          <w:sz w:val="24"/>
          <w:szCs w:val="24"/>
          <w:bdr w:val="none" w:sz="0" w:space="0" w:color="auto" w:frame="1"/>
          <w:shd w:val="clear" w:color="auto" w:fill="F8F8F8"/>
        </w:rPr>
        <w:t>Write a 500-word discussion board post citing the Glanz book as your source. No plagiarism or grammatical errors.</w:t>
      </w:r>
      <w:r>
        <w:rPr>
          <w:rStyle w:val="Strong"/>
          <w:rFonts w:cstheme="minorHAnsi"/>
          <w:color w:val="000000"/>
          <w:sz w:val="24"/>
          <w:szCs w:val="24"/>
          <w:bdr w:val="none" w:sz="0" w:space="0" w:color="auto" w:frame="1"/>
          <w:shd w:val="clear" w:color="auto" w:fill="F8F8F8"/>
        </w:rPr>
        <w:t xml:space="preserve"> Due 09/15/2021. </w:t>
      </w:r>
      <w:r>
        <w:rPr>
          <w:rStyle w:val="Strong"/>
          <w:rFonts w:cstheme="minorHAnsi"/>
          <w:b w:val="0"/>
          <w:bCs w:val="0"/>
          <w:color w:val="000000"/>
          <w:sz w:val="24"/>
          <w:szCs w:val="24"/>
          <w:bdr w:val="none" w:sz="0" w:space="0" w:color="auto" w:frame="1"/>
          <w:shd w:val="clear" w:color="auto" w:fill="F8F8F8"/>
        </w:rPr>
        <w:t>As discussion responses become available, I will upload those for completion</w:t>
      </w:r>
      <w:r w:rsidR="00376A97">
        <w:rPr>
          <w:rStyle w:val="Strong"/>
          <w:rFonts w:cstheme="minorHAnsi"/>
          <w:b w:val="0"/>
          <w:bCs w:val="0"/>
          <w:color w:val="000000"/>
          <w:sz w:val="24"/>
          <w:szCs w:val="24"/>
          <w:bdr w:val="none" w:sz="0" w:space="0" w:color="auto" w:frame="1"/>
          <w:shd w:val="clear" w:color="auto" w:fill="F8F8F8"/>
        </w:rPr>
        <w:t xml:space="preserve"> and the due date.</w:t>
      </w:r>
    </w:p>
    <w:p w14:paraId="68E39296" w14:textId="7D7B7927" w:rsidR="007646D4" w:rsidRDefault="007646D4">
      <w:pPr>
        <w:rPr>
          <w:rStyle w:val="Strong"/>
          <w:rFonts w:cstheme="minorHAnsi"/>
          <w:color w:val="000000"/>
          <w:sz w:val="24"/>
          <w:szCs w:val="24"/>
          <w:bdr w:val="none" w:sz="0" w:space="0" w:color="auto" w:frame="1"/>
          <w:shd w:val="clear" w:color="auto" w:fill="F8F8F8"/>
        </w:rPr>
      </w:pPr>
    </w:p>
    <w:p w14:paraId="04E3C642" w14:textId="2D24A392" w:rsidR="007646D4" w:rsidRPr="007646D4" w:rsidRDefault="007646D4">
      <w:pPr>
        <w:rPr>
          <w:rStyle w:val="Strong"/>
          <w:rFonts w:cstheme="minorHAnsi"/>
          <w:color w:val="000000"/>
          <w:sz w:val="24"/>
          <w:szCs w:val="24"/>
          <w:bdr w:val="none" w:sz="0" w:space="0" w:color="auto" w:frame="1"/>
          <w:shd w:val="clear" w:color="auto" w:fill="F8F8F8"/>
        </w:rPr>
      </w:pPr>
      <w:r>
        <w:rPr>
          <w:rFonts w:cstheme="minorHAnsi"/>
          <w:color w:val="000000"/>
          <w:sz w:val="24"/>
          <w:szCs w:val="24"/>
          <w:shd w:val="clear" w:color="auto" w:fill="F8F8F8"/>
        </w:rPr>
        <w:t>Discussion #</w:t>
      </w:r>
      <w:r>
        <w:rPr>
          <w:rFonts w:cstheme="minorHAnsi"/>
          <w:color w:val="000000"/>
          <w:sz w:val="24"/>
          <w:szCs w:val="24"/>
          <w:shd w:val="clear" w:color="auto" w:fill="F8F8F8"/>
        </w:rPr>
        <w:t>6</w:t>
      </w:r>
      <w:r>
        <w:rPr>
          <w:rFonts w:cstheme="minorHAnsi"/>
          <w:color w:val="000000"/>
          <w:sz w:val="24"/>
          <w:szCs w:val="24"/>
          <w:shd w:val="clear" w:color="auto" w:fill="F8F8F8"/>
        </w:rPr>
        <w:t xml:space="preserve">: </w:t>
      </w:r>
      <w:r w:rsidRPr="007646D4">
        <w:rPr>
          <w:rFonts w:cstheme="minorHAnsi"/>
          <w:color w:val="000000"/>
          <w:sz w:val="24"/>
          <w:szCs w:val="24"/>
          <w:shd w:val="clear" w:color="auto" w:fill="F8F8F8"/>
        </w:rPr>
        <w:t>After reading Glanz, et. Al Chapters 15 &amp;16 answer this question </w:t>
      </w:r>
      <w:r w:rsidRPr="007646D4">
        <w:rPr>
          <w:rStyle w:val="Strong"/>
          <w:rFonts w:cstheme="minorHAnsi"/>
          <w:color w:val="000000"/>
          <w:sz w:val="24"/>
          <w:szCs w:val="24"/>
          <w:bdr w:val="none" w:sz="0" w:space="0" w:color="auto" w:frame="1"/>
          <w:shd w:val="clear" w:color="auto" w:fill="F8F8F8"/>
        </w:rPr>
        <w:t>"How would you both generate and get buy-in for a new health promotion community education event on COVID-19 prevention?"</w:t>
      </w:r>
      <w:r>
        <w:rPr>
          <w:rStyle w:val="Strong"/>
          <w:rFonts w:cstheme="minorHAnsi"/>
          <w:color w:val="000000"/>
          <w:sz w:val="24"/>
          <w:szCs w:val="24"/>
          <w:bdr w:val="none" w:sz="0" w:space="0" w:color="auto" w:frame="1"/>
          <w:shd w:val="clear" w:color="auto" w:fill="F8F8F8"/>
        </w:rPr>
        <w:t xml:space="preserve"> </w:t>
      </w:r>
      <w:r w:rsidRPr="007646D4">
        <w:rPr>
          <w:rStyle w:val="Strong"/>
          <w:rFonts w:cstheme="minorHAnsi"/>
          <w:color w:val="000000"/>
          <w:sz w:val="24"/>
          <w:szCs w:val="24"/>
          <w:bdr w:val="none" w:sz="0" w:space="0" w:color="auto" w:frame="1"/>
          <w:shd w:val="clear" w:color="auto" w:fill="F8F8F8"/>
        </w:rPr>
        <w:t>Write a 500-word discussion board post citing the Glanz book as your source. No plagiarism or grammatical errors.</w:t>
      </w:r>
      <w:r>
        <w:rPr>
          <w:rStyle w:val="Strong"/>
          <w:rFonts w:cstheme="minorHAnsi"/>
          <w:color w:val="000000"/>
          <w:sz w:val="24"/>
          <w:szCs w:val="24"/>
          <w:bdr w:val="none" w:sz="0" w:space="0" w:color="auto" w:frame="1"/>
          <w:shd w:val="clear" w:color="auto" w:fill="F8F8F8"/>
        </w:rPr>
        <w:t xml:space="preserve"> Due 09/22/2021</w:t>
      </w:r>
    </w:p>
    <w:p w14:paraId="38D0DE6E" w14:textId="77777777" w:rsidR="007646D4" w:rsidRDefault="007646D4" w:rsidP="007646D4">
      <w:pPr>
        <w:spacing w:after="0" w:line="240" w:lineRule="auto"/>
        <w:rPr>
          <w:rStyle w:val="Strong"/>
          <w:rFonts w:cstheme="minorHAnsi"/>
          <w:color w:val="000000"/>
          <w:sz w:val="24"/>
          <w:szCs w:val="24"/>
          <w:bdr w:val="none" w:sz="0" w:space="0" w:color="auto" w:frame="1"/>
          <w:shd w:val="clear" w:color="auto" w:fill="F8F8F8"/>
        </w:rPr>
      </w:pPr>
    </w:p>
    <w:p w14:paraId="350C366C" w14:textId="71A3ED3B" w:rsidR="007646D4" w:rsidRPr="007646D4" w:rsidRDefault="007646D4" w:rsidP="007646D4">
      <w:pPr>
        <w:spacing w:after="0" w:line="240" w:lineRule="auto"/>
        <w:rPr>
          <w:rFonts w:eastAsia="Times New Roman" w:cstheme="minorHAnsi"/>
          <w:color w:val="000000"/>
          <w:sz w:val="24"/>
          <w:szCs w:val="24"/>
          <w:bdr w:val="none" w:sz="0" w:space="0" w:color="auto" w:frame="1"/>
        </w:rPr>
      </w:pPr>
      <w:r w:rsidRPr="007646D4">
        <w:rPr>
          <w:rFonts w:eastAsia="Times New Roman" w:cstheme="minorHAnsi"/>
          <w:color w:val="000000"/>
          <w:sz w:val="24"/>
          <w:szCs w:val="24"/>
          <w:bdr w:val="none" w:sz="0" w:space="0" w:color="auto" w:frame="1"/>
        </w:rPr>
        <w:br/>
      </w:r>
      <w:r>
        <w:rPr>
          <w:rFonts w:cstheme="minorHAnsi"/>
          <w:color w:val="000000"/>
          <w:sz w:val="24"/>
          <w:szCs w:val="24"/>
          <w:shd w:val="clear" w:color="auto" w:fill="F8F8F8"/>
        </w:rPr>
        <w:t>Discussion #</w:t>
      </w:r>
      <w:r>
        <w:rPr>
          <w:rFonts w:cstheme="minorHAnsi"/>
          <w:color w:val="000000"/>
          <w:sz w:val="24"/>
          <w:szCs w:val="24"/>
          <w:shd w:val="clear" w:color="auto" w:fill="F8F8F8"/>
        </w:rPr>
        <w:t>7</w:t>
      </w:r>
      <w:r>
        <w:rPr>
          <w:rFonts w:cstheme="minorHAnsi"/>
          <w:color w:val="000000"/>
          <w:sz w:val="24"/>
          <w:szCs w:val="24"/>
          <w:shd w:val="clear" w:color="auto" w:fill="F8F8F8"/>
        </w:rPr>
        <w:t xml:space="preserve">: </w:t>
      </w:r>
      <w:r w:rsidRPr="007646D4">
        <w:rPr>
          <w:rFonts w:eastAsia="Times New Roman" w:cstheme="minorHAnsi"/>
          <w:color w:val="000000"/>
          <w:sz w:val="24"/>
          <w:szCs w:val="24"/>
          <w:bdr w:val="none" w:sz="0" w:space="0" w:color="auto" w:frame="1"/>
        </w:rPr>
        <w:t>After completing your readings for the module answer this question </w:t>
      </w:r>
      <w:r w:rsidRPr="007646D4">
        <w:rPr>
          <w:rFonts w:eastAsia="Times New Roman" w:cstheme="minorHAnsi"/>
          <w:b/>
          <w:bCs/>
          <w:color w:val="000000"/>
          <w:sz w:val="24"/>
          <w:szCs w:val="24"/>
          <w:bdr w:val="none" w:sz="0" w:space="0" w:color="auto" w:frame="1"/>
        </w:rPr>
        <w:t>" </w:t>
      </w:r>
      <w:r w:rsidRPr="007646D4">
        <w:rPr>
          <w:rFonts w:eastAsia="Times New Roman" w:cstheme="minorHAnsi"/>
          <w:b/>
          <w:bCs/>
          <w:color w:val="000000"/>
          <w:sz w:val="24"/>
          <w:szCs w:val="24"/>
          <w:bdr w:val="none" w:sz="0" w:space="0" w:color="auto" w:frame="1"/>
          <w:shd w:val="clear" w:color="auto" w:fill="FFFFFF"/>
        </w:rPr>
        <w:t>How do you enforce ethical behavior</w:t>
      </w:r>
      <w:r w:rsidRPr="007646D4">
        <w:rPr>
          <w:rFonts w:eastAsia="Times New Roman" w:cstheme="minorHAnsi"/>
          <w:b/>
          <w:bCs/>
          <w:color w:val="000000"/>
          <w:sz w:val="24"/>
          <w:szCs w:val="24"/>
          <w:bdr w:val="none" w:sz="0" w:space="0" w:color="auto" w:frame="1"/>
        </w:rPr>
        <w:t>?"</w:t>
      </w:r>
      <w:r>
        <w:rPr>
          <w:rFonts w:eastAsia="Times New Roman" w:cstheme="minorHAnsi"/>
          <w:b/>
          <w:bCs/>
          <w:color w:val="000000"/>
          <w:sz w:val="24"/>
          <w:szCs w:val="24"/>
          <w:bdr w:val="none" w:sz="0" w:space="0" w:color="auto" w:frame="1"/>
        </w:rPr>
        <w:t xml:space="preserve"> </w:t>
      </w:r>
      <w:r w:rsidRPr="007646D4">
        <w:rPr>
          <w:rFonts w:eastAsia="Times New Roman" w:cstheme="minorHAnsi"/>
          <w:b/>
          <w:bCs/>
          <w:color w:val="000000"/>
          <w:sz w:val="24"/>
          <w:szCs w:val="24"/>
          <w:bdr w:val="none" w:sz="0" w:space="0" w:color="auto" w:frame="1"/>
        </w:rPr>
        <w:t>Write a 500-word discussion board post citing the Glanz book as your source. No plagiarism or grammatical errors.</w:t>
      </w:r>
      <w:r>
        <w:rPr>
          <w:rFonts w:eastAsia="Times New Roman" w:cstheme="minorHAnsi"/>
          <w:b/>
          <w:bCs/>
          <w:color w:val="000000"/>
          <w:sz w:val="24"/>
          <w:szCs w:val="24"/>
          <w:bdr w:val="none" w:sz="0" w:space="0" w:color="auto" w:frame="1"/>
        </w:rPr>
        <w:t xml:space="preserve"> 09/29/2021</w:t>
      </w:r>
    </w:p>
    <w:p w14:paraId="1B47BED0" w14:textId="77777777" w:rsidR="007646D4" w:rsidRPr="007646D4" w:rsidRDefault="007646D4">
      <w:pPr>
        <w:rPr>
          <w:rFonts w:cstheme="minorHAnsi"/>
          <w:sz w:val="24"/>
          <w:szCs w:val="24"/>
        </w:rPr>
      </w:pPr>
    </w:p>
    <w:sectPr w:rsidR="007646D4" w:rsidRPr="007646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2B38A5"/>
    <w:multiLevelType w:val="multilevel"/>
    <w:tmpl w:val="ABFA3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6D4"/>
    <w:rsid w:val="00376A97"/>
    <w:rsid w:val="007646D4"/>
    <w:rsid w:val="00F700C2"/>
    <w:rsid w:val="00FD44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91BE5"/>
  <w15:chartTrackingRefBased/>
  <w15:docId w15:val="{B6AD9FAB-077D-4DA1-A7EF-7627989BF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646D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646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79873">
      <w:bodyDiv w:val="1"/>
      <w:marLeft w:val="0"/>
      <w:marRight w:val="0"/>
      <w:marTop w:val="0"/>
      <w:marBottom w:val="0"/>
      <w:divBdr>
        <w:top w:val="none" w:sz="0" w:space="0" w:color="auto"/>
        <w:left w:val="none" w:sz="0" w:space="0" w:color="auto"/>
        <w:bottom w:val="none" w:sz="0" w:space="0" w:color="auto"/>
        <w:right w:val="none" w:sz="0" w:space="0" w:color="auto"/>
      </w:divBdr>
    </w:div>
    <w:div w:id="795371372">
      <w:bodyDiv w:val="1"/>
      <w:marLeft w:val="0"/>
      <w:marRight w:val="0"/>
      <w:marTop w:val="0"/>
      <w:marBottom w:val="0"/>
      <w:divBdr>
        <w:top w:val="none" w:sz="0" w:space="0" w:color="auto"/>
        <w:left w:val="none" w:sz="0" w:space="0" w:color="auto"/>
        <w:bottom w:val="none" w:sz="0" w:space="0" w:color="auto"/>
        <w:right w:val="none" w:sz="0" w:space="0" w:color="auto"/>
      </w:divBdr>
      <w:divsChild>
        <w:div w:id="2098863663">
          <w:marLeft w:val="0"/>
          <w:marRight w:val="0"/>
          <w:marTop w:val="0"/>
          <w:marBottom w:val="0"/>
          <w:divBdr>
            <w:top w:val="none" w:sz="0" w:space="0" w:color="auto"/>
            <w:left w:val="none" w:sz="0" w:space="0" w:color="auto"/>
            <w:bottom w:val="none" w:sz="0" w:space="0" w:color="auto"/>
            <w:right w:val="none" w:sz="0" w:space="0" w:color="auto"/>
          </w:divBdr>
        </w:div>
      </w:divsChild>
    </w:div>
    <w:div w:id="1793285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734</Words>
  <Characters>4189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Brown</dc:creator>
  <cp:keywords/>
  <dc:description/>
  <cp:lastModifiedBy>Courtney Brown</cp:lastModifiedBy>
  <cp:revision>2</cp:revision>
  <dcterms:created xsi:type="dcterms:W3CDTF">2021-09-12T12:56:00Z</dcterms:created>
  <dcterms:modified xsi:type="dcterms:W3CDTF">2021-09-12T13:09:00Z</dcterms:modified>
</cp:coreProperties>
</file>